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B" w:rsidRDefault="004C5C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5C1B" w:rsidRDefault="004C5C1B">
      <w:pPr>
        <w:pStyle w:val="ConsPlusNormal"/>
        <w:jc w:val="both"/>
        <w:outlineLvl w:val="0"/>
      </w:pPr>
    </w:p>
    <w:p w:rsidR="004C5C1B" w:rsidRDefault="004C5C1B">
      <w:pPr>
        <w:pStyle w:val="ConsPlusNormal"/>
        <w:outlineLvl w:val="0"/>
      </w:pPr>
      <w:r>
        <w:t>Зарегистрировано в Минюсте России 8 ноября 2018 г. N 52642</w:t>
      </w:r>
    </w:p>
    <w:p w:rsidR="004C5C1B" w:rsidRDefault="004C5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</w:pPr>
      <w:r>
        <w:t>МИНИСТЕРСТВО КУЛЬТУРЫ РОССИЙСКОЙ ФЕДЕРАЦИИ</w:t>
      </w:r>
    </w:p>
    <w:p w:rsidR="004C5C1B" w:rsidRDefault="004C5C1B">
      <w:pPr>
        <w:pStyle w:val="ConsPlusTitle"/>
        <w:jc w:val="center"/>
      </w:pPr>
    </w:p>
    <w:p w:rsidR="004C5C1B" w:rsidRDefault="004C5C1B">
      <w:pPr>
        <w:pStyle w:val="ConsPlusTitle"/>
        <w:jc w:val="center"/>
      </w:pPr>
      <w:r>
        <w:t>ПРИКАЗ</w:t>
      </w:r>
    </w:p>
    <w:p w:rsidR="004C5C1B" w:rsidRDefault="004C5C1B">
      <w:pPr>
        <w:pStyle w:val="ConsPlusTitle"/>
        <w:jc w:val="center"/>
      </w:pPr>
      <w:r>
        <w:t>от 1 декабря 2017 г. N 2012</w:t>
      </w:r>
    </w:p>
    <w:p w:rsidR="004C5C1B" w:rsidRDefault="004C5C1B">
      <w:pPr>
        <w:pStyle w:val="ConsPlusTitle"/>
        <w:jc w:val="center"/>
      </w:pPr>
    </w:p>
    <w:p w:rsidR="004C5C1B" w:rsidRDefault="004C5C1B">
      <w:pPr>
        <w:pStyle w:val="ConsPlusTitle"/>
        <w:jc w:val="center"/>
      </w:pPr>
      <w:r>
        <w:t>ОБ УТВЕРЖДЕНИИ ПОЛОЖЕНИЯ</w:t>
      </w:r>
    </w:p>
    <w:p w:rsidR="004C5C1B" w:rsidRDefault="004C5C1B">
      <w:pPr>
        <w:pStyle w:val="ConsPlusTitle"/>
        <w:jc w:val="center"/>
      </w:pPr>
      <w:r>
        <w:t>О ГОСУДАРСТВЕННОМ КАТАЛОГЕ МУЗЕЙНОГО ФОНДА</w:t>
      </w:r>
    </w:p>
    <w:p w:rsidR="004C5C1B" w:rsidRDefault="004C5C1B">
      <w:pPr>
        <w:pStyle w:val="ConsPlusTitle"/>
        <w:jc w:val="center"/>
      </w:pPr>
      <w:r>
        <w:t>РОССИЙСКОЙ ФЕДЕРАЦИИ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от 26 мая 1996 г.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</w:t>
      </w:r>
      <w:proofErr w:type="gramEnd"/>
      <w:r>
        <w:t xml:space="preserve"> </w:t>
      </w:r>
      <w:proofErr w:type="gramStart"/>
      <w:r>
        <w:t>2010, N 19, ст. 2291; 2011, N 9, ст. 1206; 2014, N 49, ст. 6928, 2016, N 27, ст. 4290) приказываю: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Государственном каталоге Музейного фонда Российской Федерации согласно приложению к настоящему приказу.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акта Правительства Российской Федерации о признании утратившим силу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каталоге Музейного фонда Российской Федерации, утвержденного постановлением Правительства Российской Федерации от 12 февраля 1998 г. N 179 (Собрание законодательства Российской Федерации, 1998, N 8, ст. 949, 2002, N 20, ст. 1859).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Аристархова.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right"/>
      </w:pPr>
      <w:r>
        <w:t>Врио Министра</w:t>
      </w:r>
    </w:p>
    <w:p w:rsidR="004C5C1B" w:rsidRDefault="004C5C1B">
      <w:pPr>
        <w:pStyle w:val="ConsPlusNormal"/>
        <w:jc w:val="right"/>
      </w:pPr>
      <w:r>
        <w:t>В.В.АРИСТАРХОВ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right"/>
        <w:outlineLvl w:val="0"/>
      </w:pPr>
      <w:r>
        <w:t>Утверждено</w:t>
      </w:r>
    </w:p>
    <w:p w:rsidR="004C5C1B" w:rsidRDefault="004C5C1B">
      <w:pPr>
        <w:pStyle w:val="ConsPlusNormal"/>
        <w:jc w:val="right"/>
      </w:pPr>
      <w:r>
        <w:t>приказом Министерства культуры</w:t>
      </w:r>
    </w:p>
    <w:p w:rsidR="004C5C1B" w:rsidRDefault="004C5C1B">
      <w:pPr>
        <w:pStyle w:val="ConsPlusNormal"/>
        <w:jc w:val="right"/>
      </w:pPr>
      <w:r>
        <w:t>Российской Федерации</w:t>
      </w:r>
    </w:p>
    <w:p w:rsidR="004C5C1B" w:rsidRDefault="004C5C1B">
      <w:pPr>
        <w:pStyle w:val="ConsPlusNormal"/>
        <w:jc w:val="right"/>
      </w:pPr>
      <w:r>
        <w:t>от 1 декабря 2017 г. N 2012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</w:pPr>
      <w:bookmarkStart w:id="0" w:name="P31"/>
      <w:bookmarkEnd w:id="0"/>
      <w:r>
        <w:t>ПОЛОЖЕНИЕ</w:t>
      </w:r>
    </w:p>
    <w:p w:rsidR="004C5C1B" w:rsidRDefault="004C5C1B">
      <w:pPr>
        <w:pStyle w:val="ConsPlusTitle"/>
        <w:jc w:val="center"/>
      </w:pPr>
      <w:r>
        <w:t>О ГОСУДАРСТВЕННОМ КАТАЛОГЕ МУЗЕЙНОГО ФОНДА</w:t>
      </w:r>
    </w:p>
    <w:p w:rsidR="004C5C1B" w:rsidRDefault="004C5C1B">
      <w:pPr>
        <w:pStyle w:val="ConsPlusTitle"/>
        <w:jc w:val="center"/>
      </w:pPr>
      <w:r>
        <w:t>РОССИЙСКОЙ ФЕДЕРАЦИИ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  <w:outlineLvl w:val="1"/>
      </w:pPr>
      <w:r>
        <w:t>I. Общие положения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 xml:space="preserve">1. Настоящее Положение устанавливает порядок формирования и ведения </w:t>
      </w:r>
      <w:r>
        <w:lastRenderedPageBreak/>
        <w:t>Государственного каталога Музейного фонда Российской Федерации (далее - Государственный каталог, Музейный фонд), в том числе определяет: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состав сведений и порядок их внесения в реестр 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 (далее - Реестр музеев);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состав сведений и порядок их внесения в реестр музейных предметов и музейных коллекций, включенных в состав Музейного фонда (далее - Реестр Музейного фонда);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состав сведений и порядок их внесения в реестр сделок с музейными предметами и музейными коллекциями, включенными в состав Музейного фонда (далее - Реестр сделок);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состав сведений, размещаемых на официальном сайте Государственного каталога в информационно-телекоммуникационной сети "Интернет" (далее - официальный сайт Государственного каталога), и порядок предоставления гражданам сведений, содержащихся в Реестре Музейного фонда;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порядок функционирования Государственного каталога;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порядок хранения, обработки и использования содержащейся в Государственном каталоге информации;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требования к обеспечению мер по защите информации, содержащейся в Государственном каталоге.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2. Формирование и ведение Государственного каталога осуществляется в электронном виде в федеральной государственной информационной системе (далее - ФГИС) путем создания или изменения реестровых записей, в которые включаются информация и документы, указанные в </w:t>
      </w:r>
      <w:hyperlink w:anchor="P58" w:history="1">
        <w:r>
          <w:rPr>
            <w:color w:val="0000FF"/>
          </w:rPr>
          <w:t>главе II</w:t>
        </w:r>
      </w:hyperlink>
      <w:r>
        <w:t xml:space="preserve"> настоящего Положения.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Ведение</w:t>
        </w:r>
      </w:hyperlink>
      <w:r>
        <w:t xml:space="preserve"> Государственного каталога осуществляется Министерством культуры Российской Федерации либо федеральным государственным учреждением, подведомственным Министерству культуры Российской Федерации &lt;1&gt; (далее - оператор Государственного каталога).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26.05.1996 N 54-ФЗ "О Музейном фонде Российской Федерации и музеях в Российской Федерации" (Собрание законодательства Российской Федерации 1996, N 22, ст. 2591, 2016, N 27 (часть II), ст. 4290) полномочия по ведению Государственного каталога на основании решения федерального органа исполнительной власти в сфере культуры могут быть переданы подведомственному учреждению.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4. Государственный каталог ведется на государственном языке Российской Федерации.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5. Формирование и ведение Государственного каталога включает следующие процедуры: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а) внесение в Реестр музеев сведений (внесение изменений в сведения) о музеях, иных организациях, физических лицах, в собственности, во владении или в пользовании которых находятся музейные предметы и музейные коллекции (далее - музейные предметы), включенные в состав Музейного фонда;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б) внесение в Реестр Музейного фонда сведений о музейных предметах, подлежащих включению в состав Музейного фонда (внесение изменений в сведения о музейных предметах, включенных в состав Музейного фонда);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lastRenderedPageBreak/>
        <w:t>в) внесение в Реестр сделок сведений о сделках с музейными предметами, включенными в состав Музейного фонда.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6. В целях формирования и ведения Государственного каталога используются справочники, классификаторы, в том числе общероссийские классификаторы.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7. Ведение Государственного каталога, внесение в него соответствующей информац</w:t>
      </w:r>
      <w:proofErr w:type="gramStart"/>
      <w:r>
        <w:t>ии и ее</w:t>
      </w:r>
      <w:proofErr w:type="gramEnd"/>
      <w:r>
        <w:t xml:space="preserve"> предоставление должно осуществляться с учетом требований законодательства о государственной и иной охраняемой законом тайне, законодательства об информации, информационных технологиях и о защите информации, а также законодательства в области персональных данных.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  <w:outlineLvl w:val="1"/>
      </w:pPr>
      <w:bookmarkStart w:id="1" w:name="P58"/>
      <w:bookmarkEnd w:id="1"/>
      <w:r>
        <w:t>II. Состав сведений, подлежащих внесению в Реестр</w:t>
      </w:r>
    </w:p>
    <w:p w:rsidR="004C5C1B" w:rsidRDefault="004C5C1B">
      <w:pPr>
        <w:pStyle w:val="ConsPlusTitle"/>
        <w:jc w:val="center"/>
      </w:pPr>
      <w:r>
        <w:t>музеев, Реестр Музейного фонда, Реестр сделок, и порядок</w:t>
      </w:r>
    </w:p>
    <w:p w:rsidR="004C5C1B" w:rsidRDefault="004C5C1B">
      <w:pPr>
        <w:pStyle w:val="ConsPlusTitle"/>
        <w:jc w:val="center"/>
      </w:pPr>
      <w:r>
        <w:t>их внесения в Государственный каталог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 xml:space="preserve">8. Состав сведений, подлежащих внесению в Реестр музеев, Реестр Музейного фонда, Реестр сделок, содержится в </w:t>
      </w:r>
      <w:hyperlink w:anchor="P215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267" w:history="1">
        <w:r>
          <w:rPr>
            <w:color w:val="0000FF"/>
          </w:rPr>
          <w:t>2</w:t>
        </w:r>
      </w:hyperlink>
      <w:r>
        <w:t xml:space="preserve">, </w:t>
      </w:r>
      <w:hyperlink w:anchor="P316" w:history="1">
        <w:r>
          <w:rPr>
            <w:color w:val="0000FF"/>
          </w:rPr>
          <w:t>3</w:t>
        </w:r>
      </w:hyperlink>
      <w:r>
        <w:t xml:space="preserve"> соответственно к настоящему Положению.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9. Перечень сделок, подлежащих регистрации в Государственном каталоге, содержится в </w:t>
      </w:r>
      <w:hyperlink w:anchor="P345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10. Внесение сведений в Реестр музеев: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10.1. Внесение сведений в Реестр музеев государственными и муниципальными музеями, иными государственными и муниципальными организациями, во владении или в пользовании которых находятся музейные предметы (далее - музеи и организации), осуществляется посредством интерактивного заполнения экранных форм на официальном сайте Государственного каталога.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10.2. Оператор Государственного каталога в течение 30 (тридцати) календарных дней с момента внесения музеями и организациями сведений для включения в Реестр музеев обеспечивает проверку корректности внесения сведений, а также их полноты и достоверности.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10.3. В случае положительного результата проверки и в пределах срока, предусмотренного </w:t>
      </w:r>
      <w:hyperlink w:anchor="P66" w:history="1">
        <w:r>
          <w:rPr>
            <w:color w:val="0000FF"/>
          </w:rPr>
          <w:t>подпунктом 10.2</w:t>
        </w:r>
      </w:hyperlink>
      <w:r>
        <w:t xml:space="preserve"> настоящего Положения, оператор Государственного каталога обеспечивает формирование реестровых записей. Каждому музею и организации, их обособленному подразделению автоматически присваивается уникальный идентификационный номер и направляется уведомление в электронном виде о регистрации в Реестре музеев и о получении доступа к личному кабинету в Государственном каталоге (далее - личный кабинет).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10.4. В случае отрицательного результата проверки, предусмотренной </w:t>
      </w:r>
      <w:hyperlink w:anchor="P66" w:history="1">
        <w:r>
          <w:rPr>
            <w:color w:val="0000FF"/>
          </w:rPr>
          <w:t>подпунктом 10.2</w:t>
        </w:r>
      </w:hyperlink>
      <w:r>
        <w:t xml:space="preserve"> настоящего Положения, реестровые записи не формируются. При этом оператор Государственного каталога направляет музеям и организациям уведомления в электронном виде, содержащие основания, по которым сведения не включены в Реестр музеев.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Музеи и организации в течение 10 (десяти) календарных дней со дня получения от оператора Государственного каталога уведомлений устраняют выявленные несоответствия, после чего оператор Государственного каталога осуществляет повторную проверку в соответствии с </w:t>
      </w:r>
      <w:hyperlink w:anchor="P66" w:history="1">
        <w:r>
          <w:rPr>
            <w:color w:val="0000FF"/>
          </w:rPr>
          <w:t>подпунктом 10.2</w:t>
        </w:r>
      </w:hyperlink>
      <w:r>
        <w:t xml:space="preserve"> настоящего Положения.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10.5. В случае положительного результата повторной проверки и в пределах срока, предусмотренного </w:t>
      </w:r>
      <w:hyperlink w:anchor="P66" w:history="1">
        <w:r>
          <w:rPr>
            <w:color w:val="0000FF"/>
          </w:rPr>
          <w:t>подпунктом 10.2</w:t>
        </w:r>
      </w:hyperlink>
      <w:r>
        <w:t xml:space="preserve"> настоящего Положения, оператор Государственного каталога обеспечивает формирование реестровых записей в порядке, предусмотренном </w:t>
      </w:r>
      <w:hyperlink w:anchor="P67" w:history="1">
        <w:r>
          <w:rPr>
            <w:color w:val="0000FF"/>
          </w:rPr>
          <w:t>подпунктом 10.3</w:t>
        </w:r>
      </w:hyperlink>
      <w:r>
        <w:t xml:space="preserve"> настоящего Положения, и направляет музеям и организациям в электронном виде соответствующие уведомления.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lastRenderedPageBreak/>
        <w:t>10.6. Внесение сведений в Реестр музеев в отношении иных юридических и физических лиц осуществляется оператором Государственного каталога самостоятельно посредством заполнения экранной формы на официальном сайте Государственного каталога не позднее 30 (тридцати) календарных дней со дня принятия Министерством культуры Российской Федерации решения о включении музейных предметов в Состав негосударственной части Музейного фонда.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10.7. По результатам заполнения экранных форм на официальном сайте Государственного каталога оператор Государственного каталога обеспечивает формирование реестровых записей. Каждому юридическому и физическому лицу в Реестре музеев присваивается уникальный идентификационный номер и направляется уведомление в электронном виде о регистрации в Реестре музеев и получении доступа к личному кабинету.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10.8. Уникальный идентификационный номер в Реестре музеев состоит из 9 (девяти) знаков, расположенных в следующей последовательности: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center"/>
      </w:pPr>
      <w:r>
        <w:t>а-бб-в/xxxxx,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где: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"а" (первый знак) - кодовое обозначение государственных, муниципальных организаций, иных юридических лиц, физических лиц, в собственности, во владении или в пользовании которых находятся музейные предметы, включенные или подлежащие включению в состав Музейного фонда: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1 - государственные, муниципальные организации, иные юридические лица, для которых музейная деятельность является основным видом деятельности в соответствии с учредительными документами;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2 - обособленные подразделения государственных, муниципальных организаций, иных юридических лиц, осуществляющие музейную деятельность;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3 - государственные, муниципальные организации, иные юридические лица, для которых музейная деятельность не является основным видом деятельности в соответствии с учредительными документами;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4 - физические лица;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"бб" (второй и третий знаки) - кодовое обозначение субъекта Российской Федерации в соответствии с Федеральной информационной адресной системой (ФИАС);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"в" (четвертый знак) - указание на форму собственности: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Ф - собственность Российской Федерации;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С - собственность субъекта Российской Федерации;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М - муниципальная собственность;</w:t>
      </w:r>
    </w:p>
    <w:p w:rsidR="004C5C1B" w:rsidRDefault="004C5C1B">
      <w:pPr>
        <w:pStyle w:val="ConsPlusNormal"/>
        <w:spacing w:before="220"/>
        <w:ind w:firstLine="540"/>
        <w:jc w:val="both"/>
      </w:pPr>
      <w:proofErr w:type="gramStart"/>
      <w:r>
        <w:t>Ю</w:t>
      </w:r>
      <w:proofErr w:type="gramEnd"/>
      <w:r>
        <w:t xml:space="preserve"> - собственность юридического лица;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Ч - собственность физического лица;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"xxxxx" (пятый, шестой, седьмой, восьмой и девятый знаки) - числовой порядковый номер из арабских цифр (неизменная часть уникального идентификационного номера).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10.9. Внесение изменений в сведения Реестра музеев, предусмотренные </w:t>
      </w:r>
      <w:hyperlink w:anchor="P227" w:history="1">
        <w:r>
          <w:rPr>
            <w:color w:val="0000FF"/>
          </w:rPr>
          <w:t>пунктом 1.8</w:t>
        </w:r>
      </w:hyperlink>
      <w:r>
        <w:t xml:space="preserve">, </w:t>
      </w:r>
      <w:hyperlink w:anchor="P236" w:history="1">
        <w:r>
          <w:rPr>
            <w:color w:val="0000FF"/>
          </w:rPr>
          <w:t>подпунктом 1.10.3 пункта 1.10</w:t>
        </w:r>
      </w:hyperlink>
      <w:r>
        <w:t xml:space="preserve">, </w:t>
      </w:r>
      <w:hyperlink w:anchor="P237" w:history="1">
        <w:r>
          <w:rPr>
            <w:color w:val="0000FF"/>
          </w:rPr>
          <w:t>пунктом 1.11</w:t>
        </w:r>
      </w:hyperlink>
      <w:r>
        <w:t xml:space="preserve">, </w:t>
      </w:r>
      <w:hyperlink w:anchor="P246" w:history="1">
        <w:r>
          <w:rPr>
            <w:color w:val="0000FF"/>
          </w:rPr>
          <w:t>подпунктом 1.12.2 пункта 1.12</w:t>
        </w:r>
      </w:hyperlink>
      <w:r>
        <w:t xml:space="preserve">, </w:t>
      </w:r>
      <w:hyperlink w:anchor="P249" w:history="1">
        <w:r>
          <w:rPr>
            <w:color w:val="0000FF"/>
          </w:rPr>
          <w:t>подпунктами 1.13.2</w:t>
        </w:r>
      </w:hyperlink>
      <w:r>
        <w:t xml:space="preserve">, </w:t>
      </w:r>
      <w:hyperlink w:anchor="P250" w:history="1">
        <w:r>
          <w:rPr>
            <w:color w:val="0000FF"/>
          </w:rPr>
          <w:t>1.13.3 пункта 1.13</w:t>
        </w:r>
      </w:hyperlink>
      <w:r>
        <w:t xml:space="preserve"> Приложения N 1 к настоящему Положению, осуществляется музеями и организациями посредством интерактивного заполнения экранных форм в личном кабинете на официальном сайте Государственного каталога.</w:t>
      </w:r>
    </w:p>
    <w:p w:rsidR="004C5C1B" w:rsidRDefault="004C5C1B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сведения Реестра музеев, предусмотренные </w:t>
      </w:r>
      <w:hyperlink w:anchor="P248" w:history="1">
        <w:r>
          <w:rPr>
            <w:color w:val="0000FF"/>
          </w:rPr>
          <w:t>подпунктом 1.13.1 пункта 1.13</w:t>
        </w:r>
      </w:hyperlink>
      <w:r>
        <w:t xml:space="preserve"> Приложения N 1 к настоящему Положению, осуществляется оператором Государственного каталога по обращению музея или организации, направленному оператору Государственного каталога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на официальный электронный адрес приема обращений пользователей gk@mkrf.ru.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сведения Реестра музеев, предусмотренные </w:t>
      </w:r>
      <w:hyperlink w:anchor="P218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226" w:history="1">
        <w:r>
          <w:rPr>
            <w:color w:val="0000FF"/>
          </w:rPr>
          <w:t>1.7</w:t>
        </w:r>
      </w:hyperlink>
      <w:r>
        <w:t xml:space="preserve">, </w:t>
      </w:r>
      <w:hyperlink w:anchor="P230" w:history="1">
        <w:r>
          <w:rPr>
            <w:color w:val="0000FF"/>
          </w:rPr>
          <w:t>1.9</w:t>
        </w:r>
      </w:hyperlink>
      <w:r>
        <w:t xml:space="preserve">, </w:t>
      </w:r>
      <w:hyperlink w:anchor="P234" w:history="1">
        <w:r>
          <w:rPr>
            <w:color w:val="0000FF"/>
          </w:rPr>
          <w:t>подпунктами 1.10.1</w:t>
        </w:r>
      </w:hyperlink>
      <w:r>
        <w:t xml:space="preserve">, </w:t>
      </w:r>
      <w:hyperlink w:anchor="P235" w:history="1">
        <w:r>
          <w:rPr>
            <w:color w:val="0000FF"/>
          </w:rPr>
          <w:t>1.10.2 пункта 1.10</w:t>
        </w:r>
      </w:hyperlink>
      <w:r>
        <w:t xml:space="preserve">, </w:t>
      </w:r>
      <w:hyperlink w:anchor="P245" w:history="1">
        <w:r>
          <w:rPr>
            <w:color w:val="0000FF"/>
          </w:rPr>
          <w:t>подпунктом 1.12.1 пункта 1.12</w:t>
        </w:r>
      </w:hyperlink>
      <w:r>
        <w:t xml:space="preserve">, </w:t>
      </w:r>
      <w:hyperlink w:anchor="P248" w:history="1">
        <w:r>
          <w:rPr>
            <w:color w:val="0000FF"/>
          </w:rPr>
          <w:t>подпунктом 1.13.1 пункта 1.13</w:t>
        </w:r>
      </w:hyperlink>
      <w:r>
        <w:t xml:space="preserve">, </w:t>
      </w:r>
      <w:hyperlink w:anchor="P252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254" w:history="1">
        <w:r>
          <w:rPr>
            <w:color w:val="0000FF"/>
          </w:rPr>
          <w:t>2.3</w:t>
        </w:r>
      </w:hyperlink>
      <w:r>
        <w:t xml:space="preserve"> Приложения N 1 к настоящему Положению, осуществляется оператором Государственного каталога на основании сведений, предоставленных музеями и организациями, иными юридическими и физическими лицами в Минкультуры России.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r>
        <w:t>11. Внесение музеями и организациями сведений в Реестр Музейного фонда, Реестр сделок осуществляется после прохождения музеями и организациями процедуры регистрации в Реестре музеев и получения доступа к личному кабинету сотрудников, уполномоченных организационно-распорядительными документами музеев и организаций на внесение сведений в Государственный каталог.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12. Внесение сведений в Реестр Музейного фонда: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12.1. Внесение музеями и организациями сведений в Реестр Музейного фонда осуществляется в порядке электронного взаимодействия с оператором Государственного каталога посредством интерактивного заполнения экранных форм на официальном сайте Государственного каталога либо с </w:t>
      </w:r>
      <w:proofErr w:type="gramStart"/>
      <w:r>
        <w:t>использованием</w:t>
      </w:r>
      <w:proofErr w:type="gramEnd"/>
      <w:r>
        <w:t xml:space="preserve"> установленной в музеях и организациях автоматизированной системы учета музейных предметов (далее - АМС).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12.2. Для музеев и организаций, осуществляющих взаимодействие с оператором Государственного каталога путем интерактивного заполнения экранных форм на сайте Государственного каталога, внесение сведений о музейных предметах в Реестр Музейного фонда осуществляется посредством создания реестровых записей музейных предметов и их последующей регистрации в Реестре Музейного фонда.</w:t>
      </w:r>
    </w:p>
    <w:p w:rsidR="004C5C1B" w:rsidRDefault="004C5C1B">
      <w:pPr>
        <w:pStyle w:val="ConsPlusNormal"/>
        <w:spacing w:before="220"/>
        <w:ind w:firstLine="540"/>
        <w:jc w:val="both"/>
      </w:pPr>
      <w:proofErr w:type="gramStart"/>
      <w:r>
        <w:t>Для музеев и организаций, осуществляющих взаимодействие с Государственным каталогом посредством АМС, внесение сведений о музейных предметах в Реестр Музейного фонда осуществляется в соответствии с протоколом обмена данными (коммуникационным протоколом) между АМС и Государственным каталогом, который представляет собой обмен файлами, содержащими реестровые записи музейных предметов и их регистрацию в Реестре Музейного фонда.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r>
        <w:t>12.3. Реестровые записи музейных предметов в Реестре Музейного фонда формируются на основании результатов реализованной программными средствами проверки и идентификации номеров первичного государственного учета музейных предметов &lt;2&gt; и соответствующих им номеров централизованного государственного учета (номеров Государственного каталога).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музейных предметов, поступивших во владение или пользование музеев и организаций после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03.07.2016 N 357-ФЗ "О внесении изменений в Федеральный закон "О Музейном фонде Российской Федерации и музеях в Российской Федерации" (далее - Закон) номер первичного государственного учета представляет </w:t>
      </w:r>
      <w:r>
        <w:lastRenderedPageBreak/>
        <w:t>собой порядковый номер записи о регистрации музейного предмета в книге поступлений основного фонда музея (главной инвентарной книге музея) (далее - Книга поступлений).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 xml:space="preserve">музейных предметов, поступивших во владение или пользование музеев и организаций до вступления в силу </w:t>
      </w:r>
      <w:hyperlink r:id="rId11" w:history="1">
        <w:r>
          <w:rPr>
            <w:color w:val="0000FF"/>
          </w:rPr>
          <w:t>Закона</w:t>
        </w:r>
      </w:hyperlink>
      <w:r>
        <w:t xml:space="preserve"> номер первичного государственного учета представляет</w:t>
      </w:r>
      <w:proofErr w:type="gramEnd"/>
      <w:r>
        <w:t xml:space="preserve"> собой порядковый номер записи о регистрации музейного предмета, присвоенный в одной из используемой музеями и организациями учетной документации, обеспечивающей возможность идентификации этих предметов.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 xml:space="preserve">12.4. Внесение в Реестр Музейного фонда сведений о вновь поступивших во владение или пользование музеев и </w:t>
      </w:r>
      <w:proofErr w:type="gramStart"/>
      <w:r>
        <w:t>организаций</w:t>
      </w:r>
      <w:proofErr w:type="gramEnd"/>
      <w:r>
        <w:t xml:space="preserve"> музейных предметах осуществляется музеями и организациями в срок не позднее 60 (шестидесяти) календарных дней с даты присвоения номера первичного государственного учета &lt;3&gt;.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 xml:space="preserve">ля музейных предметов, поступивших во владение или пользование музеев и организаций после вступления в силу </w:t>
      </w:r>
      <w:hyperlink r:id="rId12" w:history="1">
        <w:r>
          <w:rPr>
            <w:color w:val="0000FF"/>
          </w:rPr>
          <w:t>Закона</w:t>
        </w:r>
      </w:hyperlink>
      <w:r>
        <w:t>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12.5. Сведения о музейных предметах, вносимые музеями и организациями в Реестр Музейного фонда, должны отвечать требованиям полноты и достоверности и не противоречить сведениям, содержащимся в Книге поступлений и/или первичной учетной документации музеев и организаций.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12.6. </w:t>
      </w:r>
      <w:proofErr w:type="gramStart"/>
      <w:r>
        <w:t>Внесение сведений в Реестр Музейного фонда о музейных предметах, включенных в состав негосударственной части Музейного фонда (за исключением сведений о музейных предметах, находящихся в муниципальной собственности), осуществляется оператором Государственного каталога посредством заполнения экранной формы, создания реестровых записей музейных предметов и последующей регистрации их в Реестре Музейного фонда одновременно с процедурой регистрации юридических и физических лиц в Реестре музеев на основании</w:t>
      </w:r>
      <w:proofErr w:type="gramEnd"/>
      <w:r>
        <w:t xml:space="preserve"> решений Министерства культуры Российской Федерации о включении музейных предметов в состав негосударственной части Музейного фонда.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12.7. Процедура регистрации музейных предметов в Реестре Музейного фонда завершается автоматическим присвоением каждой реестровой записи музейного предмета уникального идентификационного номера в Реестре Музейного фонда (далее - номера Государственного каталога).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12.8. Номер Государственного каталога представляет собой цифровое обозначение из арабских цифр, не содержащее пробелов и дробей, создаваемое в прямой последовательности номеров, следующих от меньших </w:t>
      </w:r>
      <w:proofErr w:type="gramStart"/>
      <w:r>
        <w:t>к</w:t>
      </w:r>
      <w:proofErr w:type="gramEnd"/>
      <w:r>
        <w:t xml:space="preserve"> большим и используется для идентификации музейного предмета в Государственном каталоге.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Удаление или замена номера Государственного каталога, а также присвоение его другому музейному предмету не допускается.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12.9. Удаление сведений о музейных предметах из АМС после присвоения им номеров Государственного каталога не допускается.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12.10. </w:t>
      </w:r>
      <w:proofErr w:type="gramStart"/>
      <w:r>
        <w:t>Внесение изменений в сведения о музейных предметах осуществляется музеями и организациями посредством интерактивного заполнения экранных форм в личном кабинете на официальном сайте Государственного каталога либо с использованием АМС в срок не позднее 30 (тридцати) рабочих дней со дня внесения изменений в Книгу поступлений и/или первичную учетную документацию музеев и организаций.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12.11. Запись в Государственном каталоге об исключении музейных предметов из состава </w:t>
      </w:r>
      <w:r>
        <w:lastRenderedPageBreak/>
        <w:t xml:space="preserve">Музейного фонда осуществляется оператором Государственного каталога не позднее 10 (десяти) рабочих дней </w:t>
      </w:r>
      <w:proofErr w:type="gramStart"/>
      <w:r>
        <w:t>с даты принятия</w:t>
      </w:r>
      <w:proofErr w:type="gramEnd"/>
      <w:r>
        <w:t xml:space="preserve"> Министерством культуры соответствующего решения.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13. Внесение сведений в Реестр сделок: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13.1. Внесение сведений о сделках, предусмотренных </w:t>
      </w:r>
      <w:hyperlink w:anchor="P31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30" w:history="1">
        <w:r>
          <w:rPr>
            <w:color w:val="0000FF"/>
          </w:rPr>
          <w:t>5</w:t>
        </w:r>
      </w:hyperlink>
      <w:r>
        <w:t xml:space="preserve"> Приложения N 3 к настоящему Положению, в Реестр сделок осуществляется музеями и организациями посредством интерактивного заполнения экранных форм на официальном сайте Государственного каталога не позднее 30 (тридцати) календарных дней </w:t>
      </w:r>
      <w:proofErr w:type="gramStart"/>
      <w:r>
        <w:t>с даты совершения</w:t>
      </w:r>
      <w:proofErr w:type="gramEnd"/>
      <w:r>
        <w:t xml:space="preserve"> сделки.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13.2. Внесение сведений о сделках в Реестр сделок в отношении иных юридических и физических лиц осуществляется оператором Государственного каталога посредством заполнения экранной формы на официальном сайте Государственного каталога в 30-дневный срок со дня поступления документов, подтверждающих совершение сделок в Министерство культуры Российской Федерации.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13.3. Процедура регистрации сделки в Реестре сделок завершается автоматическим присвоением каждой сделке уникального идентификационного номера в Реестре сделок.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13.4. Уникальный идентификационный номер в Реестре сделок состоит из 9 (девяти) знаков, расположенных в следующей последовательности: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center"/>
      </w:pPr>
      <w:r>
        <w:t>xxxxxxx-аа,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где: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"xxxxxxx" (первый, второй, третий, четвертый, пятый, шестой, седьмой знаки) - неизменяемая часть номера сделки в Реестре сделок, его уникальный идентификатор - числовой порядковый номер (арабскими цифрами) сделки, замена которого после завершения регистрации сделки в Реестре сделок не допускается;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"аа" (восьмой и девятый знаки) - кодовое обозначение сделки, имеет значения: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КП - договор купли-продажи;</w:t>
      </w:r>
    </w:p>
    <w:p w:rsidR="004C5C1B" w:rsidRDefault="004C5C1B">
      <w:pPr>
        <w:pStyle w:val="ConsPlusNormal"/>
        <w:spacing w:before="220"/>
        <w:ind w:firstLine="540"/>
        <w:jc w:val="both"/>
      </w:pPr>
      <w:proofErr w:type="gramStart"/>
      <w:r>
        <w:t>ДР</w:t>
      </w:r>
      <w:proofErr w:type="gramEnd"/>
      <w:r>
        <w:t xml:space="preserve"> - договор дарения (кроме пожертвования);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ПЖ - пожертвование;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МН - договор мены;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ДУ - договор доверительного управления имуществом;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БП - договор безвозмездного пользования в целях осуществления музейной деятельности;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БЦ - договор безвозмездного пользования в религиозных целях;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ВЭ - договор на временное использование в целях экспонирования;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ВМ - договор на временное использование музыкальных инструментов, включенных в государственную коллекцию музыкальных инструментов;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РР - договор на выполнение работ по реставрации;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НС - принятие наследства (по закону/завещанию);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ОП - решение собственников о закреплении/изъятии музейных предметов, включенных в </w:t>
      </w:r>
      <w:r>
        <w:lastRenderedPageBreak/>
        <w:t>состав Музейного фонда, в оперативное управление (из оперативного управления).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  <w:outlineLvl w:val="1"/>
      </w:pPr>
      <w:r>
        <w:t xml:space="preserve">III. Состав сведений, размещаемых на </w:t>
      </w:r>
      <w:proofErr w:type="gramStart"/>
      <w:r>
        <w:t>официальном</w:t>
      </w:r>
      <w:proofErr w:type="gramEnd"/>
    </w:p>
    <w:p w:rsidR="004C5C1B" w:rsidRDefault="004C5C1B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Государственного каталога, и порядок предоставления</w:t>
      </w:r>
    </w:p>
    <w:p w:rsidR="004C5C1B" w:rsidRDefault="004C5C1B">
      <w:pPr>
        <w:pStyle w:val="ConsPlusTitle"/>
        <w:jc w:val="center"/>
      </w:pPr>
      <w:r>
        <w:t>гражданам сведений, содержащихся в Реестре Музейного фонда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14. Размещению на официальном сайте Государственного каталога подлежат:</w:t>
      </w:r>
    </w:p>
    <w:p w:rsidR="004C5C1B" w:rsidRDefault="004C5C1B">
      <w:pPr>
        <w:pStyle w:val="ConsPlusNormal"/>
        <w:spacing w:before="220"/>
        <w:ind w:firstLine="540"/>
        <w:jc w:val="both"/>
      </w:pPr>
      <w:proofErr w:type="gramStart"/>
      <w:r>
        <w:t xml:space="preserve">сведения из Реестра музеев, за исключением сведений, указанных в </w:t>
      </w:r>
      <w:hyperlink w:anchor="P225" w:history="1">
        <w:r>
          <w:rPr>
            <w:color w:val="0000FF"/>
          </w:rPr>
          <w:t>подпункте 1.6.2 пункта 1.6</w:t>
        </w:r>
      </w:hyperlink>
      <w:r>
        <w:t xml:space="preserve">, в </w:t>
      </w:r>
      <w:hyperlink w:anchor="P243" w:history="1">
        <w:r>
          <w:rPr>
            <w:color w:val="0000FF"/>
          </w:rPr>
          <w:t>подпункте 1.11.6 пункта 1.11</w:t>
        </w:r>
      </w:hyperlink>
      <w:r>
        <w:t xml:space="preserve">, в </w:t>
      </w:r>
      <w:hyperlink w:anchor="P244" w:history="1">
        <w:r>
          <w:rPr>
            <w:color w:val="0000FF"/>
          </w:rPr>
          <w:t>пунктах 1.12</w:t>
        </w:r>
      </w:hyperlink>
      <w:r>
        <w:t xml:space="preserve">, </w:t>
      </w:r>
      <w:hyperlink w:anchor="P247" w:history="1">
        <w:r>
          <w:rPr>
            <w:color w:val="0000FF"/>
          </w:rPr>
          <w:t>1.13</w:t>
        </w:r>
      </w:hyperlink>
      <w:r>
        <w:t xml:space="preserve">, в </w:t>
      </w:r>
      <w:hyperlink w:anchor="P253" w:history="1">
        <w:r>
          <w:rPr>
            <w:color w:val="0000FF"/>
          </w:rPr>
          <w:t>подпунктах 2.2</w:t>
        </w:r>
      </w:hyperlink>
      <w:r>
        <w:t xml:space="preserve">, </w:t>
      </w:r>
      <w:hyperlink w:anchor="P254" w:history="1">
        <w:r>
          <w:rPr>
            <w:color w:val="0000FF"/>
          </w:rPr>
          <w:t>2.3 пункта 2</w:t>
        </w:r>
      </w:hyperlink>
      <w:r>
        <w:t xml:space="preserve"> Приложения N 1 к настоящему Положению;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сведения из Реестра Музейного фонда, за исключением сведений, указанных в </w:t>
      </w:r>
      <w:hyperlink w:anchor="P283" w:history="1">
        <w:r>
          <w:rPr>
            <w:color w:val="0000FF"/>
          </w:rPr>
          <w:t>пунктах 7</w:t>
        </w:r>
      </w:hyperlink>
      <w:r>
        <w:t xml:space="preserve"> - </w:t>
      </w:r>
      <w:hyperlink w:anchor="P285" w:history="1">
        <w:r>
          <w:rPr>
            <w:color w:val="0000FF"/>
          </w:rPr>
          <w:t>9</w:t>
        </w:r>
      </w:hyperlink>
      <w:r>
        <w:t xml:space="preserve">, </w:t>
      </w:r>
      <w:hyperlink w:anchor="P287" w:history="1">
        <w:r>
          <w:rPr>
            <w:color w:val="0000FF"/>
          </w:rPr>
          <w:t>11</w:t>
        </w:r>
      </w:hyperlink>
      <w:r>
        <w:t xml:space="preserve">, </w:t>
      </w:r>
      <w:hyperlink w:anchor="P288" w:history="1">
        <w:r>
          <w:rPr>
            <w:color w:val="0000FF"/>
          </w:rPr>
          <w:t>12</w:t>
        </w:r>
      </w:hyperlink>
      <w:r>
        <w:t xml:space="preserve">, </w:t>
      </w:r>
      <w:hyperlink w:anchor="P297" w:history="1">
        <w:r>
          <w:rPr>
            <w:color w:val="0000FF"/>
          </w:rPr>
          <w:t>21</w:t>
        </w:r>
      </w:hyperlink>
      <w:r>
        <w:t xml:space="preserve">, </w:t>
      </w:r>
      <w:hyperlink w:anchor="P299" w:history="1">
        <w:r>
          <w:rPr>
            <w:color w:val="0000FF"/>
          </w:rPr>
          <w:t>23</w:t>
        </w:r>
      </w:hyperlink>
      <w:r>
        <w:t xml:space="preserve">, </w:t>
      </w:r>
      <w:hyperlink w:anchor="P300" w:history="1">
        <w:r>
          <w:rPr>
            <w:color w:val="0000FF"/>
          </w:rPr>
          <w:t>24</w:t>
        </w:r>
      </w:hyperlink>
      <w:r>
        <w:t xml:space="preserve"> Приложения N 2 к настоящему Положению;</w:t>
      </w:r>
    </w:p>
    <w:p w:rsidR="004C5C1B" w:rsidRDefault="004C5C1B">
      <w:pPr>
        <w:pStyle w:val="ConsPlusNormal"/>
        <w:spacing w:before="220"/>
        <w:ind w:firstLine="540"/>
        <w:jc w:val="both"/>
      </w:pPr>
      <w:proofErr w:type="gramStart"/>
      <w:r>
        <w:t>сведения о взаимодействии с пользователями, включая регламент технической поддержки пользователей Государственного каталога; руководство пользователя Государственного каталога; рекомендации по порядку регистрации в Государственном каталоге, передачи данных о музейных предметах в Государственный каталог, интерактивному заполнению заявок и форм, работе в личном кабинете, в том числе требования к визуальным, лингвистическим и техническим характеристикам сведений, заполняемых в личном кабинете или передаваемым через АМС;</w:t>
      </w:r>
      <w:proofErr w:type="gramEnd"/>
      <w:r>
        <w:t xml:space="preserve"> часто задаваемые вопросы;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контактная информация оператора Государственного каталога;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иная информация и документы, необходимые для обеспечения доступа и работы в Государственном каталоге.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15. Сведения, содержащиеся в Реестре Музейного фонда, являются общедоступными, за исключением сведений, распространение которых ограничено законодательством Российской Федерации, и предоставляются гражданам на безвозмездной основе посредством: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размещения на официальном сайте Государственного каталога;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предоставления в форме открытых данных.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  <w:outlineLvl w:val="1"/>
      </w:pPr>
      <w:r>
        <w:t>IV. Порядок функционирования Государственного каталога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16. Функционирование Государственного каталога осуществляется в соответствии с едиными организационными, методологическими и программно-техническими принципами, обеспечивающими его совместимость и взаимодействие с иными государственными информационными системами и информационно-телекоммуникационными сетями, а также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виде.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17. Электронные документы, представляемые оператору Государственного каталога, подлежат направлению в виде файлов в соответствии с размещенными на официальном сайте Государственного каталога форматами файлов, обеспечивающих считывание и контроль содержащихся в них данных.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18. Проведение технических работ, связанных с обеспечением функционирования Государственного каталога, не должно нарушать его работоспособность.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необходимости проведения технических работ, связанных с полной или частичной остановкой функционирования Государственного каталога, оператор Государственного </w:t>
      </w:r>
      <w:r>
        <w:lastRenderedPageBreak/>
        <w:t>каталога должен информировать пользователей Государственного каталога о проводимых технических работах, ограничениях в доступе к информации в связи с проводимыми техническими работами, а также о сроках их завершения путем публикации информационных сообщений в открытом доступе на официальном сайте Государственного каталога.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r>
        <w:t>20. Проведение технических работ, связанных с полной или частичной остановкой функционирования Государственного каталога, не может превышать 21 часа в течение календарного месяца.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21. Санкционированный доступ в Государственный каталог имеют только зарегистрированные в нем в качестве пользователей Государственного каталога лица. Идентификация, аутентификация, авторизация и регистрация пользователей обеспечивается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разграничение прав доступа пользователей.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Оператор Государственного каталога может предоставить Санкционированный доступ (постоянный/временный) в Государственный каталог наряду с музеями и организациями уполномоченным представителям органов государственной власти для осуществления функций,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26.05.1996 N 54-ФЗ "О Музейном фонде Российской Федерации и музеях в Российской Федерации" и иными нормативными правовыми актами о Музейном фонде Российской Федерации и музеях в Российской Федерации, в том числе</w:t>
      </w:r>
      <w:proofErr w:type="gramEnd"/>
      <w:r>
        <w:t>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представителям оператора Государственного каталога, осуществляющим проверку соответствия предоставляемых музеями и организациями сведений, внесение сведений в Государственный каталог в отношении иных юридических и физических лиц;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представителям Министерства культуры Российской Федерации (его территориальных органов), органов исполнительной власти субъектов Российской Федерации, осуществляющих функции по государственному </w:t>
      </w:r>
      <w:proofErr w:type="gramStart"/>
      <w:r>
        <w:t>контролю за</w:t>
      </w:r>
      <w:proofErr w:type="gramEnd"/>
      <w:r>
        <w:t xml:space="preserve"> состоянием Музейного фонда Российской Федерации;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представителям иных органов государственной власти, органов местного самоуправления, организаций в целях обеспечения осуществления ими полномочий в установленной сфере деятельности, в том числе полномочий учредителя.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23. Предоставление санкционированного доступа осуществляется оператором Государственного каталога на основании соответствующего письменного обращения заинтересованного лица в срок не позднее 10 (десяти) дней со дня получения такого обращения.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Указанное обращение должно быть направлено оператору Государственного каталога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на официальный электронный адрес приема обращений пользователей gk@mkrf.ru.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24. Оператор Государственного каталога должен обеспечивать: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техническое функционирование Государственного каталога, круглосуточный непрерывный автоматизированный доступ к нему;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безопасное хранение и использование сведений, содержащихся в Государственном каталоге,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осуществление автоматизированного сбора, хранения, обработки, обобщения и анализа сведений, содержащихся в Государственном каталоге;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lastRenderedPageBreak/>
        <w:t>доступ к сведениям, содержащимся в Государственном каталоге, без взимания платы;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взаимодействие Государственного каталога с иными информационными системами;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консультационную поддержку по вопросам использования Государственного каталога.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  <w:outlineLvl w:val="1"/>
      </w:pPr>
      <w:r>
        <w:t>V. Порядок хранения, обработки,</w:t>
      </w:r>
    </w:p>
    <w:p w:rsidR="004C5C1B" w:rsidRDefault="004C5C1B">
      <w:pPr>
        <w:pStyle w:val="ConsPlusTitle"/>
        <w:jc w:val="center"/>
      </w:pPr>
      <w:r>
        <w:t>использования и предоставления информации, содержащейся</w:t>
      </w:r>
    </w:p>
    <w:p w:rsidR="004C5C1B" w:rsidRDefault="004C5C1B">
      <w:pPr>
        <w:pStyle w:val="ConsPlusTitle"/>
        <w:jc w:val="center"/>
      </w:pPr>
      <w:r>
        <w:t>в Государственном каталоге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 xml:space="preserve">25. Обработка, хранение, использование и предоставление содержащейся в Государственном каталоге информации должны осуществляться с соблюдением требований, установленных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о государственной и иной охраняемой законом тайне, законодательством об информации, информационных технологиях и о защите информации и законодательством в области персональных данных.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26. При хранении и предоставлении информации, содержащейся в Государственном каталоге, оператор Государственного каталога должен обеспечивать целостность такой информации.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27. С целью предотвращения утраты сведений, содержащихся в Государственном каталоге, оператор Государственного каталога должен формировать резервные копии таких сведений на электронных носителях.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  <w:outlineLvl w:val="1"/>
      </w:pPr>
      <w:r>
        <w:t>VI. Требования к обеспечению мер по защите информации,</w:t>
      </w:r>
    </w:p>
    <w:p w:rsidR="004C5C1B" w:rsidRDefault="004C5C1B">
      <w:pPr>
        <w:pStyle w:val="ConsPlusTitle"/>
        <w:jc w:val="center"/>
      </w:pPr>
      <w:proofErr w:type="gramStart"/>
      <w:r>
        <w:t>содержащейся</w:t>
      </w:r>
      <w:proofErr w:type="gramEnd"/>
      <w:r>
        <w:t xml:space="preserve"> к Государственном каталоге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28. Информация, содержащаяся в Государственном каталоге,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о персональных данных.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29. Защита информации обеспечивается посредством применения организационных и технических мер защиты информации, а также осуществления </w:t>
      </w:r>
      <w:proofErr w:type="gramStart"/>
      <w:r>
        <w:t>контроля за</w:t>
      </w:r>
      <w:proofErr w:type="gramEnd"/>
      <w:r>
        <w:t xml:space="preserve"> эксплуатацией Государственного каталога.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30. В целях защиты информации, содержащейся в Государственном каталоге, оператор Государственного каталога должен обеспечивать: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предотвращение несанкционированного доступа к информации, содержащейся в Государственном каталоге, и (или) передачи такой информации лицам, не имеющим права доступа к этой информации;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незамедлительное обнаружение фактов несанкционированного доступа к информации, содержащейся в Государственном каталоге;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недопущение несанкционированного воздействия на входящие в состав Государственного каталога технические средства обработки информации, в результате которого нарушается их функционирование;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возможность незамедлительного выявления фактов модификации, уничтожения или блокирования информации, содержащейся в Государственном каталоге, вследствие несанкционированного доступа и восстановления такой информации;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обеспечение осуществления непрерывного </w:t>
      </w:r>
      <w:proofErr w:type="gramStart"/>
      <w:r>
        <w:t>контроля за</w:t>
      </w:r>
      <w:proofErr w:type="gramEnd"/>
      <w:r>
        <w:t xml:space="preserve"> уровнем защищенности информации, содержащейся в Государственном каталоге.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lastRenderedPageBreak/>
        <w:t>31. В целях защиты информации, в том числе персональных данных, программное обеспечение и технические средства ведения Государственного каталога должны обеспечивать: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фиксацию фактов внесения изменений в сведения, содержащиеся в Государственном каталоге, включая время и дату внесения изменений, сведения о лицах, вносивших изменения, а также существо и состав внесенных изменений;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фиксацию фактов получения доступа к сведениям, содержащимся в Государственном каталоге, включая время, дату и способ получения доступа, сведения о лице, получившем доступ;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порядок доступа к архивным сведениям, содержащимся в Государственном каталоге;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управление доступом к защищаемой информации, в том числе: защита информационных ресурсов на уровне разграничения прав доступа пользователей к информации; защита прикладного программного обеспечения на уровне разграничения прав доступа пользователей к функциональным возможностям Государственного каталога;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обеспечение целостности данных, а именно: предотвращение несанкционированных и непреднамеренных (за исключением действий администратора) воздействий, вызывающих разрушение, уничтожение, искажение защищаемой информации;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протоколирование событий в системном журнале регистрации, а именно: регистрация действий пользователей (в том числе администраторов) в Государственном каталоге; регистрация сбоев в работе программного обеспечения; регистрация попыток несанкционированного доступа; защита журнала регистрации (невозможность удаления записей в журнале).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32. Оператор Государственного каталога несет ответственность в соответствии с законодательством Российской Федерации.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right"/>
        <w:outlineLvl w:val="1"/>
      </w:pPr>
      <w:r>
        <w:t>Приложение N 1</w:t>
      </w:r>
    </w:p>
    <w:p w:rsidR="004C5C1B" w:rsidRDefault="004C5C1B">
      <w:pPr>
        <w:pStyle w:val="ConsPlusNormal"/>
        <w:jc w:val="right"/>
      </w:pPr>
      <w:r>
        <w:t>к Положению о Государственном каталоге</w:t>
      </w:r>
    </w:p>
    <w:p w:rsidR="004C5C1B" w:rsidRDefault="004C5C1B">
      <w:pPr>
        <w:pStyle w:val="ConsPlusNormal"/>
        <w:jc w:val="right"/>
      </w:pPr>
      <w:r>
        <w:t>Музейного фонда Российской Федерации,</w:t>
      </w:r>
    </w:p>
    <w:p w:rsidR="004C5C1B" w:rsidRDefault="004C5C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C5C1B" w:rsidRDefault="004C5C1B">
      <w:pPr>
        <w:pStyle w:val="ConsPlusNormal"/>
        <w:jc w:val="right"/>
      </w:pPr>
      <w:r>
        <w:t>Минкультуры России</w:t>
      </w:r>
    </w:p>
    <w:p w:rsidR="004C5C1B" w:rsidRDefault="004C5C1B">
      <w:pPr>
        <w:pStyle w:val="ConsPlusNormal"/>
        <w:jc w:val="right"/>
      </w:pPr>
      <w:r>
        <w:t>от 1 декабря 2017 г. N 2012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</w:pPr>
      <w:bookmarkStart w:id="4" w:name="P215"/>
      <w:bookmarkEnd w:id="4"/>
      <w:r>
        <w:t>СВЕДЕНИЯ, ПОДЛЕЖАЩИЕ ВНЕСЕНИЮ В РЕЕСТР МУЗЕЕВ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1. В отношении государственных и муниципальных музеев, иных организаций, в собственности, во владении и (или) в пользовании которых находятся музейные предметы (далее - юридические лица):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5" w:name="P218"/>
      <w:bookmarkEnd w:id="5"/>
      <w:r>
        <w:t>1.1. Полное и сокращенное (при наличии) наименование юридического лица в соответствии со сведениями Единого государственного реестра юридических лиц (ЕГРЮЛ).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1.2. Идентификационный номер налогоплательщика (ИНН) в соответствии со сведениями ЕГРЮЛ.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1.3. Сведения об организационно-правовой форме юридического лица.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1.4. Основной государственный регистрационный номер (ОГРН) юридического лица в соответствии со сведениями ЕГРЮЛ.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lastRenderedPageBreak/>
        <w:t>1.5. Сведения о месте нахождения юридического лица.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1.6. Информация об учредителе юридического лица, органе государственной власти или органе местного самоуправления, осуществляющем функции и полномочия учредителя юридического лица или права собственника имущества юридического лица: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1.6.1. Полное и сокращенное (при наличии) наименование учредителя организации, являющейся юридическим лицом, в соответствии со сведениями ЕГРЮЛ;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6" w:name="P225"/>
      <w:bookmarkEnd w:id="6"/>
      <w:r>
        <w:t>1.6.2. Фамилия, имя, отчество (при наличии) физического лица, являющегося учредителем юридического лица.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7" w:name="P226"/>
      <w:bookmarkEnd w:id="7"/>
      <w:r>
        <w:t xml:space="preserve">1.7. </w:t>
      </w:r>
      <w:proofErr w:type="gramStart"/>
      <w:r>
        <w:t>Информация о типе (профиле) музея (общий профиль, искусства, исторический, естественнонаучный, научно-технический).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bookmarkStart w:id="8" w:name="P227"/>
      <w:bookmarkEnd w:id="8"/>
      <w:r>
        <w:t>1.8. Информация о руководителе юридического лица (лице, имеющем право без доверенности действовать от имени юридического лица):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1.8.1. Фамилия, имя, отчество (при наличии);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1.8.2. Наименование должности (указывается наименование должности руководителя или лица, имеющего право без доверенности действовать от имени юридического лица) в соответствии со сведениями ЕГРЮЛ.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9" w:name="P230"/>
      <w:bookmarkEnd w:id="9"/>
      <w:r>
        <w:t xml:space="preserve">1.9. Информация о </w:t>
      </w:r>
      <w:proofErr w:type="gramStart"/>
      <w:r>
        <w:t>юридическим</w:t>
      </w:r>
      <w:proofErr w:type="gramEnd"/>
      <w:r>
        <w:t xml:space="preserve"> лице в соответствии с общероссийскими и иными классификаторами: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1.9.1. Код юридического лица по Общероссийскому классификатору предприятий и организаций (ОКПО);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1.9.2. Код по классификатору органов, предприятий и учреждений культуры (КОПУК) (при наличии).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1.10. Сведения об обособленных подразделениях юридического лица, осуществляющих музейную деятельность: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0" w:name="P234"/>
      <w:bookmarkEnd w:id="10"/>
      <w:r>
        <w:t>1.10.1. Полное и сокращенное (при наличии) наименование обособленного подразделения;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1" w:name="P235"/>
      <w:bookmarkEnd w:id="11"/>
      <w:r>
        <w:t>1.10.2. Место нахождения обособленного подразделения;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2" w:name="P236"/>
      <w:bookmarkEnd w:id="12"/>
      <w:r>
        <w:t>1.10.3. Информация о руководителе обособленного подразделения с указанием наименования должности.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3" w:name="P237"/>
      <w:bookmarkEnd w:id="13"/>
      <w:r>
        <w:t>1.11. Иная информация о юридическом лице: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1.11.1. Доменное имя официального сайта юридического лица в информационно-телекоммуникационной сети "Интернет" (при наличии);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1.11.2. Контактный номер телефона юридического лица;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1.11.3. Адрес электронной почты юридического лица;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1.11.4. Сведения о порядке и условиях доступа к музейным предметам;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1.11.5. Изображение здания юридического лица и (или) экспозиций;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4" w:name="P243"/>
      <w:bookmarkEnd w:id="14"/>
      <w:r>
        <w:t>1.11.6. Сведения о паспорте безопасности места массового пребывания людей;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lastRenderedPageBreak/>
        <w:t>1.12. Сведения о музейных предметах, находящихся на соответствующем правовом основан</w:t>
      </w:r>
      <w:proofErr w:type="gramStart"/>
      <w:r>
        <w:t>ии у ю</w:t>
      </w:r>
      <w:proofErr w:type="gramEnd"/>
      <w:r>
        <w:t>ридического лица: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1.12.1. Общее количество музейных предметов с указанием количества музейных предметов, информация о которых содержится в АМС (при наличии);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7" w:name="P246"/>
      <w:bookmarkEnd w:id="17"/>
      <w:r>
        <w:t>1.12.2. Опись томов книги поступлений основного фонда музея (главной инвентарной книги музея) и (или) учетной документации, обеспечивающей возможность идентификации музейных предметов с приложением их электронных копий.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8" w:name="P247"/>
      <w:bookmarkEnd w:id="18"/>
      <w:r>
        <w:t>1.13. Сведения об организации юридическим лицом деятельности по обеспечению взаимодействия с Государственным каталогом: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19" w:name="P248"/>
      <w:bookmarkEnd w:id="19"/>
      <w:r>
        <w:t>1.13.1. Фамилия, имя и отчество (при наличии) работник</w:t>
      </w:r>
      <w:proofErr w:type="gramStart"/>
      <w:r>
        <w:t>а(</w:t>
      </w:r>
      <w:proofErr w:type="gramEnd"/>
      <w:r>
        <w:t>ов) юридического лица, имеющего(их) доступ к удаленному рабочему месту в Государственном каталоге (личному кабинету), с указанием должности, телефона и адреса электронной почты;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20" w:name="P249"/>
      <w:bookmarkEnd w:id="20"/>
      <w:r>
        <w:t>1.13.2. Информация о налич</w:t>
      </w:r>
      <w:proofErr w:type="gramStart"/>
      <w:r>
        <w:t>ии у ю</w:t>
      </w:r>
      <w:proofErr w:type="gramEnd"/>
      <w:r>
        <w:t>ридического лица АМС с указанием ее наименования;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21" w:name="P250"/>
      <w:bookmarkEnd w:id="21"/>
      <w:r>
        <w:t>1.13.3. Фамилия, имя и отчество (при наличии) работника юридического лица, обеспечивающего учетно-хранительскую деятельность с указанием должности, телефона и адреса электронной почты.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2. В отношении физических лиц: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22" w:name="P252"/>
      <w:bookmarkEnd w:id="22"/>
      <w:r>
        <w:t>2.1. Фамилия, имя, отчество (при наличии);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23" w:name="P253"/>
      <w:bookmarkEnd w:id="23"/>
      <w:r>
        <w:t>2.2. Адрес регистрации по месту жительства, контактный телефон и адрес электронной почты;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24" w:name="P254"/>
      <w:bookmarkEnd w:id="24"/>
      <w:r>
        <w:t>2.3. Индивидуальный номер налогоплательщика (ИНН).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right"/>
        <w:outlineLvl w:val="1"/>
      </w:pPr>
      <w:r>
        <w:t>Приложение N 2</w:t>
      </w:r>
    </w:p>
    <w:p w:rsidR="004C5C1B" w:rsidRDefault="004C5C1B">
      <w:pPr>
        <w:pStyle w:val="ConsPlusNormal"/>
        <w:jc w:val="right"/>
      </w:pPr>
      <w:r>
        <w:t>к Положению о Государственном каталоге</w:t>
      </w:r>
    </w:p>
    <w:p w:rsidR="004C5C1B" w:rsidRDefault="004C5C1B">
      <w:pPr>
        <w:pStyle w:val="ConsPlusNormal"/>
        <w:jc w:val="right"/>
      </w:pPr>
      <w:r>
        <w:t>Музейного фонда Российской Федерации,</w:t>
      </w:r>
    </w:p>
    <w:p w:rsidR="004C5C1B" w:rsidRDefault="004C5C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C5C1B" w:rsidRDefault="004C5C1B">
      <w:pPr>
        <w:pStyle w:val="ConsPlusNormal"/>
        <w:jc w:val="right"/>
      </w:pPr>
      <w:r>
        <w:t>Минкультуры России</w:t>
      </w:r>
    </w:p>
    <w:p w:rsidR="004C5C1B" w:rsidRDefault="004C5C1B">
      <w:pPr>
        <w:pStyle w:val="ConsPlusNormal"/>
        <w:jc w:val="right"/>
      </w:pPr>
      <w:r>
        <w:t>от 1 декабря 2017 г. N 2012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</w:pPr>
      <w:bookmarkStart w:id="25" w:name="P267"/>
      <w:bookmarkEnd w:id="25"/>
      <w:r>
        <w:t>ПЕРЕЧЕНЬ</w:t>
      </w:r>
    </w:p>
    <w:p w:rsidR="004C5C1B" w:rsidRDefault="004C5C1B">
      <w:pPr>
        <w:pStyle w:val="ConsPlusTitle"/>
        <w:jc w:val="center"/>
      </w:pPr>
      <w:r>
        <w:t>СВЕДЕНИЙ &lt;4&gt;, ПОДЛЕЖАЩИХ ВНЕСЕНИЮ В РЕЕСТР МУЗЕЙНОГО ФОНДА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--------------------------------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&lt;4&gt; Сведения о музейных предметах, предусмотренные </w:t>
      </w:r>
      <w:hyperlink w:anchor="P27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88" w:history="1">
        <w:r>
          <w:rPr>
            <w:color w:val="0000FF"/>
          </w:rPr>
          <w:t>12</w:t>
        </w:r>
      </w:hyperlink>
      <w:r>
        <w:t>, являются обязательными для внесения в Реестр Музейного фонда.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bookmarkStart w:id="26" w:name="P273"/>
      <w:bookmarkEnd w:id="26"/>
      <w:r>
        <w:t>1. Наименование музейного предмета.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2. Изображение музейного предмета, позволяющее идентифицировать его.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3. Время создания (происхождения) музейного предмета (текстовое поле).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lastRenderedPageBreak/>
        <w:t>4. Размеры музейного предмета.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5. Номер музейного предмета в Государственном каталоге (заполняется ФГИС автоматически).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6. Номер первичного государственного учета &lt;5&gt;.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Д</w:t>
      </w:r>
      <w:proofErr w:type="gramEnd"/>
      <w:r>
        <w:t xml:space="preserve">ля музейных предметов, поступивших во владение или пользование музеев и организаций после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357-ФЗ "О внесении изменений в Федеральный закон "О Музейном фонде Российской Федерации и музеях в Российской Федерации" номер первичного государственного учета представляет собой порядковый номер записи о регистрации музейного предмета в книге поступлений основного фонда музея (главной инвентарной книге музея).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 xml:space="preserve">музейных предметов, поступивших во владение или пользование музеев и организаций до вступления в силу </w:t>
      </w:r>
      <w:hyperlink r:id="rId16" w:history="1">
        <w:r>
          <w:rPr>
            <w:color w:val="0000FF"/>
          </w:rPr>
          <w:t>Закона</w:t>
        </w:r>
      </w:hyperlink>
      <w:r>
        <w:t xml:space="preserve"> номер первичного государственного учета представляет</w:t>
      </w:r>
      <w:proofErr w:type="gramEnd"/>
      <w:r>
        <w:t xml:space="preserve"> собой порядковый номер записи о регистрации музейного предмета, присвоенный в одной из используемой музеями и организациями учетной документации, обеспечивающей возможность идентификации этих предметов.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bookmarkStart w:id="27" w:name="P283"/>
      <w:bookmarkEnd w:id="27"/>
      <w:r>
        <w:t>7. Дата присвоения номера первичного государственного учета.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8. Идентификатор АМС (в случае передачи данных о музейных предметах через АМС).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28" w:name="P285"/>
      <w:bookmarkEnd w:id="28"/>
      <w:r>
        <w:t>9. Категория ценности музейного предмета (1 - культурные ценности мирового значения, предметы из драгоценных металлов, 2 - культурные ценности общероссийского значения, 3 - культурные ценности регионального значения) с учетом требований законодательства по гражданской обороне.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10. Типология музейного предмета в соответствии с видом предмета в </w:t>
      </w:r>
      <w:hyperlink r:id="rId17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8-НК "Сведения о деятельности музеев".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29" w:name="P287"/>
      <w:bookmarkEnd w:id="29"/>
      <w:r>
        <w:t>11. Форма собственности (федеральная собственность, собственность субъекта Российской Федерации, муниципальная собственность, собственность юридического лица, собственность физического лица).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30" w:name="P288"/>
      <w:bookmarkEnd w:id="30"/>
      <w:r>
        <w:t>12. Источник и основания поступления в собственность, во владение или в пользование юридического или физического лица.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13. Предметное имя (ключевое слово).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14. Краткое описание музейных предметов.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15. Место создания (происхождения) музейных предметов.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16. Место обнаружения (для предметов археологии и этнографии).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17. Фамилия, имя, отчество (при наличии) автора.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18. Организация-изготовитель (школа, мастерская).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19. Материал и техника создания.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20. Краткое описание истории бытования.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31" w:name="P297"/>
      <w:bookmarkEnd w:id="31"/>
      <w:r>
        <w:lastRenderedPageBreak/>
        <w:t>21. Масса (для музейных предметов из драгоценных металлов и драгоценных камней).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22. Номера в специальной инвентарной книге основного фонда Музея (для музейных предметов из драгоценных металлов и драгоценных камней).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32" w:name="P299"/>
      <w:bookmarkEnd w:id="32"/>
      <w:r>
        <w:t>23. Даты и номера актов приема музейных предметов в постоянное пользование.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33" w:name="P300"/>
      <w:bookmarkEnd w:id="33"/>
      <w:r>
        <w:t>24. Даты и номера протоколов заседаний экспертных фондово-закупочных комиссий музеев и организаций об отнесении культурных ценностей к музейным предметам.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 xml:space="preserve">25. Номера музейных предметов </w:t>
      </w:r>
      <w:proofErr w:type="gramStart"/>
      <w:r>
        <w:t>в инвентарной книге в соответствии с классификацией основного фонда в зависимости от состава</w:t>
      </w:r>
      <w:proofErr w:type="gramEnd"/>
      <w:r>
        <w:t xml:space="preserve"> собрания.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26. Дополнительные изображения музейных предметов, в том числе марки, клейма, метки, записи, ярлыки.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27. Количество составных частей музейного предмета.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right"/>
        <w:outlineLvl w:val="1"/>
      </w:pPr>
      <w:r>
        <w:t>Приложение N 3</w:t>
      </w:r>
    </w:p>
    <w:p w:rsidR="004C5C1B" w:rsidRDefault="004C5C1B">
      <w:pPr>
        <w:pStyle w:val="ConsPlusNormal"/>
        <w:jc w:val="right"/>
      </w:pPr>
      <w:r>
        <w:t>к Положению о Государственном каталоге</w:t>
      </w:r>
    </w:p>
    <w:p w:rsidR="004C5C1B" w:rsidRDefault="004C5C1B">
      <w:pPr>
        <w:pStyle w:val="ConsPlusNormal"/>
        <w:jc w:val="right"/>
      </w:pPr>
      <w:r>
        <w:t>Музейного фонда Российской Федерации,</w:t>
      </w:r>
    </w:p>
    <w:p w:rsidR="004C5C1B" w:rsidRDefault="004C5C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C5C1B" w:rsidRDefault="004C5C1B">
      <w:pPr>
        <w:pStyle w:val="ConsPlusNormal"/>
        <w:jc w:val="right"/>
      </w:pPr>
      <w:r>
        <w:t>Минкультуры России</w:t>
      </w:r>
    </w:p>
    <w:p w:rsidR="004C5C1B" w:rsidRDefault="004C5C1B">
      <w:pPr>
        <w:pStyle w:val="ConsPlusNormal"/>
        <w:jc w:val="right"/>
      </w:pPr>
      <w:r>
        <w:t>от 1 декабря 2017 г. N 2012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</w:pPr>
      <w:bookmarkStart w:id="34" w:name="P316"/>
      <w:bookmarkEnd w:id="34"/>
      <w:r>
        <w:t>ПЕРЕЧЕНЬ СВЕДЕНИЙ, ПОДЛЕЖАЩИХ ВНЕСЕНИЮ В РЕЕСТР СДЕЛОК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bookmarkStart w:id="35" w:name="P318"/>
      <w:bookmarkEnd w:id="35"/>
      <w:r>
        <w:t>1. Основания возникновения, перехода и прекращения прав на музейные предметы с указанием реквизитов документов (наименование, номер (при наличии) и дата):</w:t>
      </w:r>
    </w:p>
    <w:p w:rsidR="004C5C1B" w:rsidRDefault="004C5C1B">
      <w:pPr>
        <w:pStyle w:val="ConsPlusNormal"/>
        <w:spacing w:before="220"/>
        <w:ind w:firstLine="540"/>
        <w:jc w:val="both"/>
      </w:pPr>
      <w:proofErr w:type="gramStart"/>
      <w:r>
        <w:t>договоры (купля-продажа, дарение (пожертвование), мена, временное владение и (или) пользование, доверительное управление имуществом);</w:t>
      </w:r>
      <w:proofErr w:type="gramEnd"/>
    </w:p>
    <w:p w:rsidR="004C5C1B" w:rsidRDefault="004C5C1B">
      <w:pPr>
        <w:pStyle w:val="ConsPlusNormal"/>
        <w:spacing w:before="220"/>
        <w:ind w:firstLine="540"/>
        <w:jc w:val="both"/>
      </w:pPr>
      <w:r>
        <w:t>наследование (по закону или по завещанию);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решения собственника о закреплении музейных предметов в оперативное управление или изъятии из оперативного управления.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2. Стороны сделки: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полное наименование (для юридических лиц);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фамилия, имя, отчество (при наличии) (для физических лиц).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3. Условия сделки: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перечень музейных предметов, являющихся объектом сделки, с указанием уникальных идентификационных номеров;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срок (определенный/неопределенный);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цена (для возмездных сделок).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lastRenderedPageBreak/>
        <w:t>4. Сведения о наличии специального разрешения Минкультуры России с указанием реквизитов документа (наименование, номер и дата).</w:t>
      </w:r>
    </w:p>
    <w:p w:rsidR="004C5C1B" w:rsidRDefault="004C5C1B">
      <w:pPr>
        <w:pStyle w:val="ConsPlusNormal"/>
        <w:spacing w:before="220"/>
        <w:ind w:firstLine="540"/>
        <w:jc w:val="both"/>
      </w:pPr>
      <w:bookmarkStart w:id="36" w:name="P330"/>
      <w:bookmarkEnd w:id="36"/>
      <w:r>
        <w:t>5. Сведения о наличии соответствующего согласия органа, осуществляющего функции и полномочия учредителя, с указанием реквизитов документа (наименование, номер и дата).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6. Уникальный идентификационный номер музея или организации, иного юридического лица, физического лица - стороны сделки, являющейся основанием для возникновения, перехода и прекращения прав на музейные предметы.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7. Дата и номер регистрации сделки в Реестре сделок.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right"/>
        <w:outlineLvl w:val="1"/>
      </w:pPr>
      <w:r>
        <w:t>Приложение N 4</w:t>
      </w:r>
    </w:p>
    <w:p w:rsidR="004C5C1B" w:rsidRDefault="004C5C1B">
      <w:pPr>
        <w:pStyle w:val="ConsPlusNormal"/>
        <w:jc w:val="right"/>
      </w:pPr>
      <w:r>
        <w:t>к Положению о Государственном каталоге</w:t>
      </w:r>
    </w:p>
    <w:p w:rsidR="004C5C1B" w:rsidRDefault="004C5C1B">
      <w:pPr>
        <w:pStyle w:val="ConsPlusNormal"/>
        <w:jc w:val="right"/>
      </w:pPr>
      <w:r>
        <w:t>Музейного фонда Российской Федерации,</w:t>
      </w:r>
    </w:p>
    <w:p w:rsidR="004C5C1B" w:rsidRDefault="004C5C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C5C1B" w:rsidRDefault="004C5C1B">
      <w:pPr>
        <w:pStyle w:val="ConsPlusNormal"/>
        <w:jc w:val="right"/>
      </w:pPr>
      <w:r>
        <w:t>Минкультуры России</w:t>
      </w:r>
    </w:p>
    <w:p w:rsidR="004C5C1B" w:rsidRDefault="004C5C1B">
      <w:pPr>
        <w:pStyle w:val="ConsPlusNormal"/>
        <w:jc w:val="right"/>
      </w:pPr>
      <w:r>
        <w:t>от 1 декабря 2017 г. N 2012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Title"/>
        <w:jc w:val="center"/>
      </w:pPr>
      <w:bookmarkStart w:id="37" w:name="P345"/>
      <w:bookmarkEnd w:id="37"/>
      <w:r>
        <w:t>ПЕРЕЧЕНЬ</w:t>
      </w:r>
    </w:p>
    <w:p w:rsidR="004C5C1B" w:rsidRDefault="004C5C1B">
      <w:pPr>
        <w:pStyle w:val="ConsPlusTitle"/>
        <w:jc w:val="center"/>
      </w:pPr>
      <w:r>
        <w:t>СДЕЛОК, ПОДЛЕЖАЩИХ РЕГИСТРАЦИИ В ГОСУДАРСТВЕННОМ КАТАЛОГЕ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ind w:firstLine="540"/>
        <w:jc w:val="both"/>
      </w:pPr>
      <w:r>
        <w:t>1. Договоры, являющиеся основаниями возникновения, перехода и прекращения прав на музейные предметы: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купли-продажи музейных предметов, включенных в состав негосударственной части Музейного фонда;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дарения (пожертвования) музейных предметов, включенных в состав негосударственной части Музейного фонда;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мены музейных предметов, включенных в состав негосударственной части Музейного фонда;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доверительного управления музейными предметами, включенными в состав негосударственной части Музейного фонда;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безвозмездного/возмездного пользования музейными предметами, включенными в состав Музейного фонда;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на выполнение работ по реставрации музейных предметов, включенных в состав Музейного фонда.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2. Иные сделки, являющиеся основаниями возникновения, перехода и прекращения прав на музейные предметы: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принятие наследства (по закону/завещанию) музейных предметов, включенных в состав негосударственной части Музейного фонда;</w:t>
      </w:r>
    </w:p>
    <w:p w:rsidR="004C5C1B" w:rsidRDefault="004C5C1B">
      <w:pPr>
        <w:pStyle w:val="ConsPlusNormal"/>
        <w:spacing w:before="220"/>
        <w:ind w:firstLine="540"/>
        <w:jc w:val="both"/>
      </w:pPr>
      <w:r>
        <w:t>решения собственников о закреплении музейных предметов, включенных в состав Музейного фонда, в оперативное управление или изъятии из оперативного управления.</w:t>
      </w: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jc w:val="both"/>
      </w:pPr>
    </w:p>
    <w:p w:rsidR="004C5C1B" w:rsidRDefault="004C5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EEA" w:rsidRDefault="00D94EEA">
      <w:bookmarkStart w:id="38" w:name="_GoBack"/>
      <w:bookmarkEnd w:id="38"/>
    </w:p>
    <w:sectPr w:rsidR="00D94EEA" w:rsidSect="0004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B"/>
    <w:rsid w:val="003418C1"/>
    <w:rsid w:val="004C5C1B"/>
    <w:rsid w:val="00D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1"/>
  </w:style>
  <w:style w:type="paragraph" w:styleId="3">
    <w:name w:val="heading 3"/>
    <w:basedOn w:val="a"/>
    <w:link w:val="30"/>
    <w:uiPriority w:val="9"/>
    <w:qFormat/>
    <w:rsid w:val="00341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C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1"/>
  </w:style>
  <w:style w:type="paragraph" w:styleId="3">
    <w:name w:val="heading 3"/>
    <w:basedOn w:val="a"/>
    <w:link w:val="30"/>
    <w:uiPriority w:val="9"/>
    <w:qFormat/>
    <w:rsid w:val="00341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C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9147920939A42DD6E524B35C8C98FD722075E117B67F2FF9F20ED99FAEF79385600279A6BF9453D8C3FDA082FEDFA9F40P6i6P" TargetMode="External"/><Relationship Id="rId13" Type="http://schemas.openxmlformats.org/officeDocument/2006/relationships/hyperlink" Target="consultantplus://offline/ref=8309147920939A42DD6E524B35C8C98FDC2E095A11703AF8F7C62CEF9EF5B06E2D1F5121CE33A310339234C40AP2iE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09147920939A42DD6E524B35C8C98FDC270C5B12763AF8F7C62CEF9EF5B06E3F1F092DCE3ABD15398762954C79FEF8965C6497B2046398PAiBP" TargetMode="External"/><Relationship Id="rId12" Type="http://schemas.openxmlformats.org/officeDocument/2006/relationships/hyperlink" Target="consultantplus://offline/ref=8309147920939A42DD6E524B35C8C98FDC2E095E14793AF8F7C62CEF9EF5B06E2D1F5121CE33A310339234C40AP2iEP" TargetMode="External"/><Relationship Id="rId17" Type="http://schemas.openxmlformats.org/officeDocument/2006/relationships/hyperlink" Target="consultantplus://offline/ref=8309147920939A42DD6E524B35C8C98FDC250C591A723AF8F7C62CEF9EF5B06E3F1F092DCE3ABD11348762954C79FEF8965C6497B2046398PAi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09147920939A42DD6E524B35C8C98FDC2E095E14793AF8F7C62CEF9EF5B06E2D1F5121CE33A310339234C40AP2i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9147920939A42DD6E524B35C8C98FDC2E095A11703AF8F7C62CEF9EF5B06E3F1F0925CC31E94174D93BC40132F3FB81406496PAiEP" TargetMode="External"/><Relationship Id="rId11" Type="http://schemas.openxmlformats.org/officeDocument/2006/relationships/hyperlink" Target="consultantplus://offline/ref=8309147920939A42DD6E524B35C8C98FDC2E095E14793AF8F7C62CEF9EF5B06E2D1F5121CE33A310339234C40AP2iE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09147920939A42DD6E524B35C8C98FDC2E095E14793AF8F7C62CEF9EF5B06E2D1F5121CE33A310339234C40AP2iEP" TargetMode="External"/><Relationship Id="rId10" Type="http://schemas.openxmlformats.org/officeDocument/2006/relationships/hyperlink" Target="consultantplus://offline/ref=8309147920939A42DD6E524B35C8C98FDC2E095E14793AF8F7C62CEF9EF5B06E2D1F5121CE33A310339234C40AP2iE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9147920939A42DD6E524B35C8C98FDC2E095A11703AF8F7C62CEF9EF5B06E3F1F0925CF31E94174D93BC40132F3FB81406496PAiEP" TargetMode="External"/><Relationship Id="rId14" Type="http://schemas.openxmlformats.org/officeDocument/2006/relationships/hyperlink" Target="consultantplus://offline/ref=8309147920939A42DD6E524B35C8C98FD6250757137B67F2FF9F20ED99FAEF6B380E092CC724BD132E8E36C6P0i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6455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Ольга Валентиновна</dc:creator>
  <cp:lastModifiedBy>Сенина Ольга Валентиновна</cp:lastModifiedBy>
  <cp:revision>1</cp:revision>
  <dcterms:created xsi:type="dcterms:W3CDTF">2022-03-09T15:34:00Z</dcterms:created>
  <dcterms:modified xsi:type="dcterms:W3CDTF">2022-03-09T15:34:00Z</dcterms:modified>
</cp:coreProperties>
</file>